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3E4DB3">
            <w:r w:rsidRPr="00D17798">
              <w:rPr>
                <w:sz w:val="22"/>
              </w:rPr>
              <w:t>[</w:t>
            </w:r>
            <w:r w:rsidR="003E4DB3">
              <w:rPr>
                <w:sz w:val="22"/>
              </w:rPr>
              <w:t>ОБЩИНА АПРИЛЦИ</w:t>
            </w:r>
            <w:r w:rsidRPr="00D17798">
              <w:rPr>
                <w:sz w:val="22"/>
              </w:rPr>
              <w:t>]</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D17798" w:rsidRDefault="00934AC1" w:rsidP="00AB16CD">
            <w:r w:rsidRPr="00D17798">
              <w:rPr>
                <w:sz w:val="22"/>
              </w:rPr>
              <w:t>[</w:t>
            </w:r>
            <w:r w:rsidR="00AB16CD" w:rsidRPr="00AB16CD">
              <w:rPr>
                <w:rFonts w:ascii="Times New Roman Bulgarian" w:hAnsi="Times New Roman Bulgarian" w:cs="Times New Roman Bulgarian"/>
                <w:b/>
                <w:szCs w:val="24"/>
              </w:rPr>
              <w:t xml:space="preserve">Доставка на автомобилни горива </w:t>
            </w:r>
            <w:r w:rsidR="00AB16CD" w:rsidRPr="00AB16CD">
              <w:rPr>
                <w:rFonts w:ascii="Times New Roman Bulgarian" w:hAnsi="Times New Roman Bulgarian" w:cs="Times New Roman Bulgarian"/>
                <w:b/>
                <w:szCs w:val="24"/>
              </w:rPr>
              <w:lastRenderedPageBreak/>
              <w:t>(бензин - А-95Н, дизелово гориво и газ пропан-бутан) за нуждите на общинска администрация през 20</w:t>
            </w:r>
            <w:r w:rsidR="00AB16CD">
              <w:rPr>
                <w:rFonts w:ascii="Times New Roman Bulgarian" w:hAnsi="Times New Roman Bulgarian" w:cs="Times New Roman Bulgarian"/>
                <w:b/>
                <w:szCs w:val="24"/>
                <w:lang w:val="en-US"/>
              </w:rPr>
              <w:t>20</w:t>
            </w:r>
            <w:r w:rsidR="00AB16CD" w:rsidRPr="00AB16CD">
              <w:rPr>
                <w:rFonts w:ascii="Times New Roman Bulgarian" w:hAnsi="Times New Roman Bulgarian" w:cs="Times New Roman Bulgarian"/>
                <w:b/>
                <w:szCs w:val="24"/>
              </w:rPr>
              <w:t xml:space="preserve"> г</w:t>
            </w:r>
            <w:r w:rsidR="003E4DB3" w:rsidRPr="00E550CB">
              <w:rPr>
                <w:rFonts w:ascii="Times New Roman Bulgarian" w:hAnsi="Times New Roman Bulgarian" w:cs="Times New Roman Bulgarian"/>
                <w:b/>
                <w:szCs w:val="24"/>
              </w:rPr>
              <w:t>.</w:t>
            </w:r>
            <w:r w:rsidRPr="00D17798">
              <w:rPr>
                <w:sz w:val="22"/>
              </w:rPr>
              <w:t>]</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3E4DB3">
            <w:pPr>
              <w:rPr>
                <w:lang w:val="en-US"/>
              </w:rPr>
            </w:pPr>
            <w:r w:rsidRPr="00D17798">
              <w:rPr>
                <w:sz w:val="22"/>
              </w:rPr>
              <w:t>[</w:t>
            </w:r>
            <w:r w:rsidR="00AB16CD">
              <w:rPr>
                <w:sz w:val="22"/>
              </w:rPr>
              <w:t xml:space="preserve">Обява </w:t>
            </w:r>
            <w:bookmarkStart w:id="0" w:name="_GoBack"/>
            <w:bookmarkEnd w:id="0"/>
            <w:r w:rsidR="003E4DB3">
              <w:rPr>
                <w:sz w:val="22"/>
              </w:rPr>
              <w:t>00016-2019-0001</w:t>
            </w:r>
            <w:r w:rsidRPr="00D17798">
              <w:rPr>
                <w:sz w:val="22"/>
              </w:rPr>
              <w:t>]</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w:t>
            </w:r>
            <w:r w:rsidRPr="00440C60">
              <w:rPr>
                <w:b/>
                <w:sz w:val="22"/>
                <w:u w:val="single"/>
              </w:rPr>
              <w:lastRenderedPageBreak/>
              <w:t>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lastRenderedPageBreak/>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lastRenderedPageBreak/>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Основания, свързани с наказателни присъди съгласно националните разпоредби за </w:t>
            </w:r>
            <w:r w:rsidRPr="00D17798">
              <w:rPr>
                <w:b/>
                <w:i/>
                <w:sz w:val="22"/>
              </w:rPr>
              <w:lastRenderedPageBreak/>
              <w:t>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lastRenderedPageBreak/>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w:t>
            </w:r>
            <w:r w:rsidRPr="00A3003C">
              <w:rPr>
                <w:sz w:val="22"/>
              </w:rPr>
              <w:lastRenderedPageBreak/>
              <w:t>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w:t>
            </w:r>
            <w:r w:rsidRPr="00D17798">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 xml:space="preserve">уеб адрес, орган или служба, издаващи </w:t>
            </w:r>
            <w:r w:rsidRPr="008D68EC">
              <w:rPr>
                <w:i/>
                <w:sz w:val="22"/>
              </w:rPr>
              <w:lastRenderedPageBreak/>
              <w:t>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lastRenderedPageBreak/>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r>
            <w:r w:rsidRPr="00827C5F">
              <w:rPr>
                <w:sz w:val="22"/>
              </w:rPr>
              <w:lastRenderedPageBreak/>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r>
            <w:r w:rsidRPr="00827C5F">
              <w:rPr>
                <w:sz w:val="22"/>
              </w:rPr>
              <w:lastRenderedPageBreak/>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w:t>
            </w:r>
            <w:r w:rsidRPr="00827C5F">
              <w:rPr>
                <w:sz w:val="22"/>
              </w:rPr>
              <w:lastRenderedPageBreak/>
              <w:t xml:space="preserve">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w:t>
            </w:r>
            <w:r w:rsidRPr="00D17798">
              <w:rPr>
                <w:sz w:val="22"/>
              </w:rPr>
              <w:lastRenderedPageBreak/>
              <w:t xml:space="preserve">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lastRenderedPageBreak/>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 xml:space="preserve">стандарти или системи за </w:t>
            </w:r>
            <w:r w:rsidRPr="00827C5F">
              <w:rPr>
                <w:b/>
                <w:sz w:val="22"/>
              </w:rPr>
              <w:lastRenderedPageBreak/>
              <w:t>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lastRenderedPageBreak/>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BD" w:rsidRDefault="00260BBD" w:rsidP="00934AC1">
      <w:pPr>
        <w:spacing w:before="0" w:after="0"/>
      </w:pPr>
      <w:r>
        <w:separator/>
      </w:r>
    </w:p>
  </w:endnote>
  <w:endnote w:type="continuationSeparator" w:id="0">
    <w:p w:rsidR="00260BBD" w:rsidRDefault="00260BBD"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imes New Roman Bulgari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AB16CD">
      <w:rPr>
        <w:noProof/>
      </w:rPr>
      <w:t>18</w:t>
    </w:r>
    <w:r>
      <w:fldChar w:fldCharType="end"/>
    </w:r>
    <w:r>
      <w:tab/>
    </w:r>
    <w:fldSimple w:instr=" DOCVARIABLE &quot;LW_Confidence&quot; \* MERGEFORMAT ">
      <w:r w:rsidR="00AB16CD">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50" w:rsidRPr="00446950" w:rsidRDefault="00446950" w:rsidP="0044695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BD" w:rsidRDefault="00260BBD" w:rsidP="00934AC1">
      <w:pPr>
        <w:spacing w:before="0" w:after="0"/>
      </w:pPr>
      <w:r>
        <w:separator/>
      </w:r>
    </w:p>
  </w:footnote>
  <w:footnote w:type="continuationSeparator" w:id="0">
    <w:p w:rsidR="00260BBD" w:rsidRDefault="00260BBD"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60BBD"/>
    <w:rsid w:val="002E2074"/>
    <w:rsid w:val="002E5915"/>
    <w:rsid w:val="00302A28"/>
    <w:rsid w:val="00311A5E"/>
    <w:rsid w:val="003D5E6C"/>
    <w:rsid w:val="003E4DB3"/>
    <w:rsid w:val="003F63CF"/>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B16CD"/>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E354E3"/>
    <w:rsid w:val="00E54FBC"/>
    <w:rsid w:val="00E61423"/>
    <w:rsid w:val="00E67BA0"/>
    <w:rsid w:val="00E72373"/>
    <w:rsid w:val="00E82BD7"/>
    <w:rsid w:val="00EF348C"/>
    <w:rsid w:val="00F07C96"/>
    <w:rsid w:val="00F103F6"/>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9858F2-A252-42B3-AB5F-E4CF0262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lang w:val="en-GB" w:eastAsia="x-none"/>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lang w:val="en-GB" w:eastAsia="x-none"/>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szCs w:val="20"/>
      <w:lang w:val="en-GB" w:eastAsia="x-none"/>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szCs w:val="20"/>
      <w:lang w:val="en-GB"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eastAsia="x-none"/>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eastAsia="x-none"/>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eastAsia="x-none"/>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7E70-79BC-4E29-996B-A04C631A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TotalTime>
  <Pages>19</Pages>
  <Words>4541</Words>
  <Characters>25886</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Romanini Claudio (MARKT)</dc:creator>
  <cp:keywords/>
  <cp:lastModifiedBy>МАРКО</cp:lastModifiedBy>
  <cp:revision>2</cp:revision>
  <cp:lastPrinted>2020-03-31T09:03:00Z</cp:lastPrinted>
  <dcterms:created xsi:type="dcterms:W3CDTF">2020-03-31T09:03:00Z</dcterms:created>
  <dcterms:modified xsi:type="dcterms:W3CDTF">2020-03-31T09:03:00Z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